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  <w:drawing>
          <wp:inline distB="0" distT="0" distL="0" distR="0">
            <wp:extent cx="2551776" cy="1282886"/>
            <wp:effectExtent b="0" l="0" r="0" t="0"/>
            <wp:docPr id="107374183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51776" cy="12828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  <w:rtl w:val="0"/>
        </w:rPr>
        <w:t xml:space="preserve">            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266700</wp:posOffset>
                </wp:positionV>
                <wp:extent cx="2167890" cy="757556"/>
                <wp:effectExtent b="0" l="0" r="0" t="0"/>
                <wp:wrapNone/>
                <wp:docPr id="1073741830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266818" y="3405985"/>
                          <a:ext cx="2158365" cy="74803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00" w:before="10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1"/>
                                <w:smallCaps w:val="0"/>
                                <w:strike w:val="0"/>
                                <w:color w:val="c00000"/>
                                <w:sz w:val="26"/>
                                <w:vertAlign w:val="baseline"/>
                              </w:rPr>
                              <w:t xml:space="preserve">Razem dla utalentowanych kobiet w IT 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4470400</wp:posOffset>
                </wp:positionH>
                <wp:positionV relativeFrom="paragraph">
                  <wp:posOffset>266700</wp:posOffset>
                </wp:positionV>
                <wp:extent cx="2167890" cy="757556"/>
                <wp:effectExtent b="0" l="0" r="0" t="0"/>
                <wp:wrapNone/>
                <wp:docPr id="1073741830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7890" cy="75755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INFORMACJA PRASOWA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 for SHE,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to bezprecedensowy program, którego celem jest  zwiększenie udziału kobiet w branży technologicznej, poprzez pomoc utalentowanym studentkom kierunków związanych z nowymi technologiami w wejściu na rynek pracy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.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Dzięki skali, doświadczeniu i aktywnej współpracy partnerów, przedsięwzięcie 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to od kilku lat przyczynia się do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jakościowej zmiany w tym zakresie. Sukces programu został dostrzeżony i nagrodzony przez Komisję Europejską. Otrzymał prestiżową nagrodę -  </w:t>
      </w: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European Digital Skills Award,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w kategorii działań na rzecz umiejętności cyfrowych kobiet. W tym roku odbędzie się już VI edycja programu.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Głównymi elementami Programu są: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1"/>
          <w:szCs w:val="21"/>
          <w:u w:val="none"/>
          <w:shd w:fill="auto" w:val="clear"/>
          <w:vertAlign w:val="baseline"/>
          <w:rtl w:val="0"/>
        </w:rPr>
        <w:t xml:space="preserve">Program Mentoringowy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6 miesięczny program, w którym mentorami i mentorkami są przedstawiciele i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przedstawicielki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najlepszych firm technologicznych Polsce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1"/>
          <w:szCs w:val="21"/>
          <w:u w:val="none"/>
          <w:shd w:fill="auto" w:val="clear"/>
          <w:vertAlign w:val="baseline"/>
          <w:rtl w:val="0"/>
        </w:rPr>
        <w:t xml:space="preserve">Program Wolontaria</w:t>
      </w:r>
      <w:r w:rsidDel="00000000" w:rsidR="00000000" w:rsidRPr="00000000">
        <w:rPr>
          <w:rFonts w:ascii="Calibri" w:cs="Calibri" w:eastAsia="Calibri" w:hAnsi="Calibri"/>
          <w:b w:val="1"/>
          <w:color w:val="c00000"/>
          <w:sz w:val="21"/>
          <w:szCs w:val="21"/>
          <w:rtl w:val="0"/>
        </w:rPr>
        <w:t xml:space="preserve">cki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1"/>
          <w:szCs w:val="21"/>
          <w:u w:val="none"/>
          <w:shd w:fill="auto" w:val="clear"/>
          <w:vertAlign w:val="baseline"/>
          <w:rtl w:val="0"/>
        </w:rPr>
        <w:t xml:space="preserve"> – IT for SHE for Kids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, w ramach którego studentki w lato pojadą do małych miejscowości, wsi i miasteczek, aby uczyć  dzieciaki podstaw programowania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1"/>
          <w:szCs w:val="21"/>
          <w:u w:val="none"/>
          <w:shd w:fill="auto" w:val="clear"/>
          <w:vertAlign w:val="baseline"/>
          <w:rtl w:val="0"/>
        </w:rPr>
        <w:t xml:space="preserve">Akademia Edukatorów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– seria webinariów kompetencyjnych dla polskich nauczycieli i edukatorów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1"/>
          <w:szCs w:val="21"/>
          <w:u w:val="none"/>
          <w:shd w:fill="auto" w:val="clear"/>
          <w:vertAlign w:val="baseline"/>
          <w:rtl w:val="0"/>
        </w:rPr>
        <w:t xml:space="preserve">Women in Tech Camp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c00000"/>
          <w:sz w:val="21"/>
          <w:szCs w:val="21"/>
          <w:u w:val="none"/>
          <w:shd w:fill="auto" w:val="clear"/>
          <w:vertAlign w:val="baseline"/>
          <w:rtl w:val="0"/>
        </w:rPr>
        <w:t xml:space="preserve"> 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największy w Europie obóz tematyczny dla dziewczyn z nowych technologii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Nabór do Programu Mentoringowego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rusza już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10 lutego br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. do udziału w nim zapraszamy studentki i absolwentki kierunków związanych z nowymi technologiami z polskich uczelni technicznych oraz z wydziałów ścisłych uniwersytetów. Wyboru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entora/mentorki i rejestracji można dokonać na stronie: </w:t>
      </w:r>
      <w:hyperlink r:id="rId9">
        <w:r w:rsidDel="00000000" w:rsidR="00000000" w:rsidRPr="00000000">
          <w:rPr>
            <w:rFonts w:ascii="Calibri" w:cs="Calibri" w:eastAsia="Calibri" w:hAnsi="Calibri"/>
            <w:b w:val="0"/>
            <w:i w:val="0"/>
            <w:smallCaps w:val="0"/>
            <w:strike w:val="0"/>
            <w:color w:val="0563c1"/>
            <w:sz w:val="21"/>
            <w:szCs w:val="21"/>
            <w:u w:val="single"/>
            <w:shd w:fill="auto" w:val="clear"/>
            <w:vertAlign w:val="baseline"/>
            <w:rtl w:val="0"/>
          </w:rPr>
          <w:t xml:space="preserve">www.itforshe.pl</w:t>
        </w:r>
      </w:hyperlink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.  W ramach programu dziewczyny rozwiną umiejętności z zakresu: nowych technologii, zarządzania projektami, planowania kariery zawodowej, czy też przywództwa. Wszystko to w ramach wyjątkowej, indywidualnej relacji z ekspertami i eksper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t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kami z najlepszych, globalnych firm technologicznych. </w:t>
        <w:br w:type="textWrapping"/>
        <w:br w:type="textWrapping"/>
        <w:t xml:space="preserve">Od sierpnia ruszy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Akademia Edukatorów -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seria webinarów kompetencyjnych dla nauczycieli z całej Polski. Podczas spotkań eksperci i ekspertki  od edukacji w obszarze STEM opowiadać będą m.in.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o cyberbezpieczeństwie i ścieżkach w zawodach IT, metodach motywowania i rozbudzania kreatywności wśród uczniów, wzmacniania dziewcząt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oraz o najnowszych platformach do prowadzenia angażujących zajęć online.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okresie wakacyjnym i wczesną jesienią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(lipiec-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październik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) studentki kierunków informatycznych zaprosimy do udziału w Programie wolontaria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ckim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IT for SHE for Kids,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w ramach którego będą prowadzić zajęcia edukacyjne z programowania i wiedzy technologicznej dla dzieci ze szkół podstawowych z rejonów wiej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skich i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z miejscowości poniżej 20 tys.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mieszkańców.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Nasze wolontariuszki wsparte przez ekspertów i ekspertki z firm partnerskich zainspirują dzieciaki z  placówek na terenie całego kraju.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br w:type="textWrapping"/>
        <w:br w:type="textWrapping"/>
        <w:t xml:space="preserve">W grudniu, w ramach programu 160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studentek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z całej Polski pojedzie na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Women in T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ech Camp</w:t>
      </w:r>
      <w:r w:rsidDel="00000000" w:rsidR="00000000" w:rsidRPr="00000000">
        <w:rPr>
          <w:rFonts w:ascii="Calibri" w:cs="Calibri" w:eastAsia="Calibri" w:hAnsi="Calibri"/>
          <w:sz w:val="21"/>
          <w:szCs w:val="21"/>
          <w:rtl w:val="0"/>
        </w:rPr>
        <w:t xml:space="preserve"> - jedyny w swoim rodzaju obóz rozwojowy pełen warsztatów technologicznych i softskillowych, sesji mentoringowych, wydarzeń networkingowych i inspirujących sesji role models. To największe tego typu wydarzenie w Europie budujące wyjątkową społeczność wspierających się kobiet z obszarów STEM.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100" w:line="240" w:lineRule="auto"/>
        <w:ind w:left="0" w:right="0" w:firstLine="0"/>
        <w:jc w:val="left"/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Najwyższa pora zadbać o mądre wykorzystanie potencjału utalentowanych technologicznie, ambitnych, młodych kobiet dla rozwoju gospodarczego Polski, Europy i świata!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1"/>
          <w:szCs w:val="21"/>
          <w:u w:val="none"/>
          <w:shd w:fill="auto" w:val="clear"/>
          <w:vertAlign w:val="baseline"/>
          <w:rtl w:val="0"/>
        </w:rPr>
        <w:t xml:space="preserve">Organizatorem programu IT for SHE jest: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Fundacja Edukacyjna Perspektywy – Perspektywy Women in Tech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c00000"/>
          <w:sz w:val="21"/>
          <w:szCs w:val="21"/>
          <w:u w:val="none"/>
          <w:shd w:fill="auto" w:val="clear"/>
          <w:vertAlign w:val="baseline"/>
          <w:rtl w:val="0"/>
        </w:rPr>
        <w:t xml:space="preserve">Partnerami programu są: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  <w:rtl w:val="0"/>
        </w:rPr>
        <w:t xml:space="preserve">Accenture, Fundacja Kronenberga - Citi Handlowy, Ericsson,                                                                                                          Goldman Sachs, Google, Intel, Motorola Solutions, NatWest, Point72 i Procter &amp; Gamble, State Street</w:t>
      </w:r>
      <w:r w:rsidDel="00000000" w:rsidR="00000000" w:rsidRPr="00000000">
        <w:rPr>
          <w:rFonts w:ascii="Calibri" w:cs="Calibri" w:eastAsia="Calibri" w:hAnsi="Calibri"/>
          <w:b w:val="1"/>
          <w:sz w:val="21"/>
          <w:szCs w:val="21"/>
          <w:rtl w:val="0"/>
        </w:rPr>
        <w:t xml:space="preserve">, Standard Chartered.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5149850</wp:posOffset>
                </wp:positionH>
                <wp:positionV relativeFrom="paragraph">
                  <wp:posOffset>184150</wp:posOffset>
                </wp:positionV>
                <wp:extent cx="1643380" cy="1350011"/>
                <wp:effectExtent b="0" l="0" r="0" t="0"/>
                <wp:wrapSquare wrapText="bothSides" distB="57150" distT="57150" distL="57150" distR="57150"/>
                <wp:docPr id="1073741829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529073" y="3109757"/>
                          <a:ext cx="1633855" cy="13404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0"/>
                                <w:vertAlign w:val="baseline"/>
                              </w:rPr>
                              <w:t xml:space="preserve">Kontakt dla mediów: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c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Joanna LIsiecka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563c1"/>
                                <w:sz w:val="20"/>
                                <w:u w:val="single"/>
                                <w:vertAlign w:val="baseline"/>
                              </w:rPr>
                              <w:t xml:space="preserve"> HYPERLINK "mailto:j.lisiecka@perspektywy.pl"j.lisiecka@perspektywy.pl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tel. 696 483 349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Strona projektu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563c1"/>
                                <w:sz w:val="20"/>
                                <w:u w:val="single"/>
                                <w:vertAlign w:val="baseline"/>
                              </w:rPr>
                              <w:t xml:space="preserve"> HYPERLINK "http://www.itforshe.pl"www.itforshe.pl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                                           </w:t>
                            </w:r>
                          </w:p>
                        </w:txbxContent>
                      </wps:txbx>
                      <wps:bodyPr anchorCtr="0" anchor="t" bIns="45700" lIns="45700" spcFirstLastPara="1" rIns="457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57150" distT="57150" distL="57150" distR="57150" hidden="0" layoutInCell="1" locked="0" relativeHeight="0" simplePos="0">
                <wp:simplePos x="0" y="0"/>
                <wp:positionH relativeFrom="column">
                  <wp:posOffset>5149850</wp:posOffset>
                </wp:positionH>
                <wp:positionV relativeFrom="paragraph">
                  <wp:posOffset>184150</wp:posOffset>
                </wp:positionV>
                <wp:extent cx="1643380" cy="1350011"/>
                <wp:effectExtent b="0" l="0" r="0" t="0"/>
                <wp:wrapSquare wrapText="bothSides" distB="57150" distT="57150" distL="57150" distR="57150"/>
                <wp:docPr id="107374182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43380" cy="1350011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sz w:val="26"/>
          <w:szCs w:val="26"/>
        </w:rPr>
        <w:drawing>
          <wp:inline distB="114300" distT="114300" distL="114300" distR="114300">
            <wp:extent cx="6645600" cy="1562100"/>
            <wp:effectExtent b="0" l="0" r="0" t="0"/>
            <wp:docPr id="107374183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56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footerReference r:id="rId13" w:type="default"/>
      <w:pgSz w:h="16840" w:w="11900" w:orient="portrait"/>
      <w:pgMar w:bottom="720" w:top="720" w:left="720" w:right="72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Helvetica Neu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to Sans Symbols">
    <w:embedRegular w:fontKey="{00000000-0000-0000-0000-000000000000}" r:id="rId9" w:subsetted="0"/>
    <w:embedBold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leader="none" w:pos="9020"/>
      </w:tabs>
      <w:spacing w:after="0" w:before="0" w:line="240" w:lineRule="auto"/>
      <w:ind w:left="0" w:right="0" w:firstLine="0"/>
      <w:jc w:val="left"/>
      <w:rPr>
        <w:rFonts w:ascii="Helvetica Neue" w:cs="Helvetica Neue" w:eastAsia="Helvetica Neue" w:hAnsi="Helvetica Neue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428" w:hanging="347.9999999999998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36" w:hanging="33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3">
      <w:start w:val="1"/>
      <w:numFmt w:val="bullet"/>
      <w:lvlText w:val="●"/>
      <w:lvlJc w:val="left"/>
      <w:pPr>
        <w:ind w:left="2844" w:hanging="324.00000000000045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552" w:hanging="312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260" w:hanging="300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6">
      <w:start w:val="1"/>
      <w:numFmt w:val="bullet"/>
      <w:lvlText w:val="●"/>
      <w:lvlJc w:val="left"/>
      <w:pPr>
        <w:ind w:left="4968" w:hanging="288"/>
      </w:pPr>
      <w:rPr>
        <w:rFonts w:ascii="Noto Sans Symbols" w:cs="Noto Sans Symbols" w:eastAsia="Noto Sans Symbols" w:hAnsi="Noto Sans Symbols"/>
        <w:b w:val="0"/>
        <w:i w:val="0"/>
        <w:smallCaps w:val="0"/>
        <w:strike w:val="0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5676" w:hanging="276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384" w:hanging="264"/>
      </w:pPr>
      <w:rPr>
        <w:rFonts w:ascii="Arimo" w:cs="Arimo" w:eastAsia="Arimo" w:hAnsi="Arimo"/>
        <w:b w:val="0"/>
        <w:i w:val="0"/>
        <w:smallCaps w:val="0"/>
        <w:strike w:val="0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next w:val="Normal"/>
    <w:pPr/>
    <w:rPr>
      <w:sz w:val="24"/>
      <w:szCs w:val="24"/>
      <w:lang w:bidi="ar-SA" w:eastAsia="en-US" w:val="en-US"/>
    </w:rPr>
  </w:style>
  <w:style w:type="character" w:styleId="Default Paragraph Font" w:default="1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styleId="Table Normal" w:default="1">
    <w:name w:val="Table Normal"/>
    <w:next w:val="Table Normal"/>
    <w:pPr/>
    <w:tblPr>
      <w:tblInd w:w="0.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styleId="No List" w:default="1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color="auto" w:fill="auto" w:val="clear"/>
      <w:tabs>
        <w:tab w:val="right" w:pos="9020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Helvetica Neue" w:cs="Arial Unicode MS" w:eastAsia="Arial Unicode MS" w:hAnsi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color="auto" w:fill="auto" w:val="nil"/>
      <w:vertAlign w:val="baseline"/>
      <w14:textFill>
        <w14:solidFill>
          <w14:srgbClr w14:val="000000"/>
        </w14:solidFill>
      </w14:textFill>
      <w14:textOutline>
        <w14:noFill/>
      </w14:textOutline>
    </w:rPr>
  </w:style>
  <w:style w:type="paragraph" w:styleId="Normalny">
    <w:name w:val="Normalny"/>
    <w:next w:val="Normalny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60" w:before="0" w:line="259" w:lineRule="auto"/>
      <w:ind w:left="0" w:right="0" w:firstLine="0"/>
      <w:jc w:val="left"/>
      <w:outlineLvl w:val="9"/>
    </w:pPr>
    <w:rPr>
      <w:rFonts w:ascii="Calibri" w:cs="Arial Unicode MS" w:eastAsia="Arial Unicode MS" w:hAnsi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paragraph" w:styleId="Normalny (Web)">
    <w:name w:val="Normalny (Web)"/>
    <w:next w:val="Normalny (Web)"/>
    <w:pPr>
      <w:keepNext w:val="0"/>
      <w:keepLines w:val="0"/>
      <w:pageBreakBefore w:val="0"/>
      <w:widowControl w:val="1"/>
      <w:shd w:color="auto" w:fill="auto" w:val="clear"/>
      <w:suppressAutoHyphens w:val="0"/>
      <w:bidi w:val="0"/>
      <w:spacing w:after="100" w:before="100" w:line="240" w:lineRule="auto"/>
      <w:ind w:left="0" w:right="0" w:firstLine="0"/>
      <w:jc w:val="left"/>
      <w:outlineLvl w:val="9"/>
    </w:pPr>
    <w:rPr>
      <w:rFonts w:ascii="Times New Roman" w:cs="Arial Unicode MS" w:eastAsia="Arial Unicode MS" w:hAnsi="Times New Roman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numbering" w:styleId="Zaimportowany styl 1">
    <w:name w:val="Zaimportowany styl 1"/>
    <w:pPr>
      <w:numPr>
        <w:numId w:val="1"/>
      </w:numPr>
    </w:pPr>
  </w:style>
  <w:style w:type="character" w:styleId="Brak">
    <w:name w:val="Brak"/>
  </w:style>
  <w:style w:type="character" w:styleId="Hyperlink.0">
    <w:name w:val="Hyperlink.0"/>
    <w:basedOn w:val="Brak"/>
    <w:next w:val="Hyperlink.0"/>
    <w:rPr>
      <w:outline w:val="0"/>
      <w:color w:val="0563c1"/>
      <w:sz w:val="17"/>
      <w:szCs w:val="17"/>
      <w:u w:color="0563c1" w:val="single"/>
      <w14:textFill>
        <w14:solidFill>
          <w14:srgbClr w14:val="0563C1"/>
        </w14:solidFill>
      </w14:textFill>
    </w:rPr>
  </w:style>
  <w:style w:type="paragraph" w:styleId="HTML - wstępnie sformatowany">
    <w:name w:val="HTML - wstępnie sformatowany"/>
    <w:next w:val="HTML - wstępnie sformatowany"/>
    <w:pPr>
      <w:keepNext w:val="0"/>
      <w:keepLines w:val="0"/>
      <w:pageBreakBefore w:val="0"/>
      <w:widowControl w:val="1"/>
      <w:shd w:color="auto" w:fill="auto" w:val="clear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bidi w:val="0"/>
      <w:spacing w:after="0" w:before="0" w:line="240" w:lineRule="auto"/>
      <w:ind w:left="0" w:right="0" w:firstLine="0"/>
      <w:jc w:val="left"/>
      <w:outlineLvl w:val="9"/>
    </w:pPr>
    <w:rPr>
      <w:rFonts w:ascii="Courier New" w:cs="Arial Unicode MS" w:eastAsia="Arial Unicode MS" w:hAnsi="Courier New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color="000000" w:val="none"/>
      <w:shd w:color="auto" w:fill="auto" w:val="nil"/>
      <w:vertAlign w:val="baseline"/>
      <w14:textFill>
        <w14:solidFill>
          <w14:srgbClr w14:val="000000"/>
        </w14:solidFill>
      </w14:textFill>
    </w:rPr>
  </w:style>
  <w:style w:type="character" w:styleId="Hyperlink.1">
    <w:name w:val="Hyperlink.1"/>
    <w:basedOn w:val="Brak"/>
    <w:next w:val="Hyperlink.1"/>
    <w:rPr>
      <w:rFonts w:ascii="Calibri" w:cs="Calibri" w:eastAsia="Calibri" w:hAnsi="Calibri"/>
      <w:outline w:val="0"/>
      <w:color w:val="0563c1"/>
      <w:u w:color="0563c1" w:val="single"/>
      <w14:textFill>
        <w14:solidFill>
          <w14:srgbClr w14:val="0563C1"/>
        </w14:solidFill>
      </w14:textFill>
    </w:rPr>
  </w:style>
  <w:style w:type="character" w:styleId="Hyperlink.2">
    <w:name w:val="Hyperlink.2"/>
    <w:basedOn w:val="Brak"/>
    <w:next w:val="Hyperlink.2"/>
    <w:rPr>
      <w:rFonts w:ascii="Calibri" w:cs="Calibri" w:eastAsia="Calibri" w:hAnsi="Calibri"/>
      <w:outline w:val="0"/>
      <w:color w:val="0563c1"/>
      <w:sz w:val="20"/>
      <w:szCs w:val="20"/>
      <w:u w:color="0563c1" w:val="single"/>
      <w14:textFill>
        <w14:solidFill>
          <w14:srgbClr w14:val="0563C1"/>
        </w14:solidFill>
      </w14:textFill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2.png"/><Relationship Id="rId10" Type="http://schemas.openxmlformats.org/officeDocument/2006/relationships/image" Target="media/image3.png"/><Relationship Id="rId13" Type="http://schemas.openxmlformats.org/officeDocument/2006/relationships/footer" Target="footer1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itforshe.p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4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10" Type="http://schemas.openxmlformats.org/officeDocument/2006/relationships/font" Target="fonts/NotoSansSymbols-bold.ttf"/><Relationship Id="rId9" Type="http://schemas.openxmlformats.org/officeDocument/2006/relationships/font" Target="fonts/NotoSansSymbols-regular.ttf"/><Relationship Id="rId5" Type="http://schemas.openxmlformats.org/officeDocument/2006/relationships/font" Target="fonts/HelveticaNeue-regular.ttf"/><Relationship Id="rId6" Type="http://schemas.openxmlformats.org/officeDocument/2006/relationships/font" Target="fonts/HelveticaNeue-bold.ttf"/><Relationship Id="rId7" Type="http://schemas.openxmlformats.org/officeDocument/2006/relationships/font" Target="fonts/HelveticaNeue-italic.ttf"/><Relationship Id="rId8" Type="http://schemas.openxmlformats.org/officeDocument/2006/relationships/font" Target="fonts/HelveticaNeue-boldItalic.ttf"/></Relationships>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MTmGJuycvTOEaP0gJ71o7Vocngw==">AMUW2mXlIvXXgkeB028FH4Qtto37p736lpIUeEH0k5XcbKv7AGGs8Z0tEhTFsoQQld7/6dFCJ82g6L9KQMQF6Z7YiuzUfEmuOsft5KoZq/cS4dkpgzCSr+s=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